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A73F68E" w14:textId="7F7BD2A1" w:rsidR="00632CF3" w:rsidRPr="00632CF3" w:rsidRDefault="00F1783A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A669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5EC006" w14:textId="77777777"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4A4D" w14:textId="69FD6F9F" w:rsidR="00632CF3" w:rsidRPr="00632CF3" w:rsidRDefault="00F1783A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F0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264F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40E39" w14:textId="6519A2D7"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17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Кутки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669D61BE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F1783A">
        <w:rPr>
          <w:rFonts w:ascii="Times New Roman" w:hAnsi="Times New Roman" w:cs="Times New Roman"/>
          <w:sz w:val="28"/>
          <w:szCs w:val="28"/>
        </w:rPr>
        <w:t>Кутковского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186000C4" w14:textId="68EB214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440FA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A287C" w14:textId="2331413C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747E8E0B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A42603">
        <w:rPr>
          <w:rFonts w:ascii="Times New Roman" w:hAnsi="Times New Roman" w:cs="Times New Roman"/>
          <w:sz w:val="28"/>
          <w:szCs w:val="28"/>
        </w:rPr>
        <w:t xml:space="preserve">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5C63D2ED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A4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2D5BFA3C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A4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728DE69D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A4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3FAF243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66086ADA" w:rsidR="00632CF3" w:rsidRPr="00632CF3" w:rsidRDefault="00A4260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632CF3"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CF3"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779E8D1" w14:textId="64C1BB54" w:rsidR="00632CF3" w:rsidRPr="00632CF3" w:rsidRDefault="00A4260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С.В.Заруднев</w:t>
            </w:r>
            <w:proofErr w:type="spellEnd"/>
          </w:p>
          <w:p w14:paraId="1AE59B08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4E261BEC" w:rsidR="00EF27AD" w:rsidRPr="00EF27AD" w:rsidRDefault="00A42603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63066D11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4F04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26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0A76BC19" w:rsidR="008C1433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proofErr w:type="spellStart"/>
      <w:r w:rsidR="00A42603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2F9CEA15" w14:textId="77777777"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26AD6BDE" w14:textId="06E0C942" w:rsidR="00EF27AD" w:rsidRPr="00EF27AD" w:rsidRDefault="00701BD3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proofErr w:type="spellStart"/>
      <w:r w:rsidR="00A4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A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7F6928AF" w14:textId="77777777"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42C055DF" w:rsidR="00EF27AD" w:rsidRPr="00EF27AD" w:rsidRDefault="00701BD3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Надежда Васильевна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3CFE370" w14:textId="660FF41F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2FA2D" w14:textId="3801B9D2" w:rsidR="008C1433" w:rsidRDefault="008C1433" w:rsidP="004A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49D3D567" w14:textId="4B415B9D" w:rsidR="00B53DB1" w:rsidRDefault="00B53DB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 – директор МКУК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BFAECA7" w14:textId="77777777" w:rsidR="004A584B" w:rsidRDefault="004A584B" w:rsidP="004A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CE9">
        <w:rPr>
          <w:rFonts w:ascii="Times New Roman" w:hAnsi="Times New Roman" w:cs="Times New Roman"/>
          <w:sz w:val="28"/>
          <w:szCs w:val="28"/>
        </w:rPr>
        <w:t>Мордасов</w:t>
      </w:r>
      <w:proofErr w:type="gramEnd"/>
      <w:r w:rsidRPr="00F43CE9">
        <w:rPr>
          <w:rFonts w:ascii="Times New Roman" w:hAnsi="Times New Roman" w:cs="Times New Roman"/>
          <w:sz w:val="28"/>
          <w:szCs w:val="28"/>
        </w:rPr>
        <w:t xml:space="preserve"> Павел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3CE9">
        <w:rPr>
          <w:rFonts w:ascii="Times New Roman" w:hAnsi="Times New Roman" w:cs="Times New Roman"/>
          <w:sz w:val="28"/>
          <w:szCs w:val="28"/>
        </w:rPr>
        <w:t>начальник по развитию сельских территорий администрации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F43CE9">
        <w:rPr>
          <w:rFonts w:ascii="Times New Roman" w:hAnsi="Times New Roman" w:cs="Times New Roman"/>
          <w:sz w:val="28"/>
          <w:szCs w:val="28"/>
        </w:rPr>
        <w:t xml:space="preserve">антинаркотической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43CE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согласованию);  </w:t>
      </w:r>
    </w:p>
    <w:p w14:paraId="27B5F9BC" w14:textId="6556EE53" w:rsidR="00EF27AD" w:rsidRDefault="004A584B" w:rsidP="004A584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Киселев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УУП и ПДН. Лейтенант полиции, уполномоченный участковый инспектор </w:t>
      </w:r>
      <w:r w:rsidRPr="00595C22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="00EF27AD">
        <w:br w:type="page"/>
      </w:r>
    </w:p>
    <w:p w14:paraId="46B40F63" w14:textId="04BF1E2A" w:rsidR="00CF2688" w:rsidRDefault="00CF2688" w:rsidP="00632CF3">
      <w:pPr>
        <w:spacing w:after="0" w:line="240" w:lineRule="auto"/>
        <w:ind w:firstLine="709"/>
      </w:pPr>
    </w:p>
    <w:p w14:paraId="476E5D94" w14:textId="77777777" w:rsidR="00CF2688" w:rsidRPr="008C1433" w:rsidRDefault="00CF2688" w:rsidP="00632CF3">
      <w:pPr>
        <w:spacing w:after="0" w:line="240" w:lineRule="auto"/>
        <w:ind w:firstLine="709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7E48504F" w:rsidR="00EF27AD" w:rsidRPr="00EF27AD" w:rsidRDefault="004A3326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213CF54F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DB1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0D057013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Кутквского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5880D8F9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0FB27D20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59A75A96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>Целью Рабочей гру</w:t>
      </w:r>
      <w:r w:rsidR="004A3326">
        <w:rPr>
          <w:rFonts w:ascii="Times New Roman" w:hAnsi="Times New Roman" w:cs="Times New Roman"/>
          <w:sz w:val="28"/>
          <w:szCs w:val="28"/>
        </w:rPr>
        <w:t>ппы является объединение усилий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22F3948B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4A3326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4A3326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57E7E321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4A3326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2A61E5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3D7EAAD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56F30A85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4A33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B53DB1">
          <w:pgSz w:w="11717" w:h="16642"/>
          <w:pgMar w:top="284" w:right="802" w:bottom="1276" w:left="1104" w:header="1080" w:footer="720" w:gutter="0"/>
          <w:cols w:space="720"/>
        </w:sectPr>
      </w:pPr>
    </w:p>
    <w:p w14:paraId="1E25E0B9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5A73D96B" w:rsidR="00865224" w:rsidRPr="00EF27AD" w:rsidRDefault="00E2688C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37B45469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3DB1">
        <w:rPr>
          <w:rFonts w:ascii="Times New Roman" w:eastAsia="Times New Roman" w:hAnsi="Times New Roman" w:cs="Times New Roman"/>
          <w:sz w:val="28"/>
          <w:szCs w:val="28"/>
          <w:lang w:eastAsia="ru-RU"/>
        </w:rPr>
        <w:t>15.06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B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7EAAEC44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E2688C" w:rsidRPr="00E2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68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Кутковского</w:t>
      </w:r>
      <w:proofErr w:type="spellEnd"/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865224">
        <w:tc>
          <w:tcPr>
            <w:tcW w:w="704" w:type="dxa"/>
          </w:tcPr>
          <w:p w14:paraId="4FAB416D" w14:textId="6517E20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666A7E0" w14:textId="57FECD5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865224">
        <w:tc>
          <w:tcPr>
            <w:tcW w:w="704" w:type="dxa"/>
          </w:tcPr>
          <w:p w14:paraId="1D705365" w14:textId="6046666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1E61987A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proofErr w:type="spellStart"/>
            <w:r w:rsidR="00E26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Кутковского</w:t>
            </w:r>
            <w:proofErr w:type="spellEnd"/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72343799" w14:textId="4072ED0C" w:rsidR="005339ED" w:rsidRP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ED1" w14:textId="08AB1201" w:rsidR="005339ED" w:rsidRPr="005339ED" w:rsidRDefault="00E2688C" w:rsidP="00E2688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утки</w:t>
            </w:r>
            <w:proofErr w:type="spellEnd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339ED"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населенного пункта)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1EA0C" w14:textId="639F3A68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 (указать период).</w:t>
            </w:r>
          </w:p>
          <w:p w14:paraId="11FC73FA" w14:textId="13FCC5A5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F857" w14:textId="7A9235E2" w:rsidR="005339ED" w:rsidRPr="005339ED" w:rsidRDefault="00E2688C" w:rsidP="00E2688C">
            <w:pPr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Таволжанка</w:t>
            </w:r>
            <w:proofErr w:type="gramEnd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9ED"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наименование населенного пункта)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B8F620" w14:textId="531E17CA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сентябрь (указать период).</w:t>
            </w:r>
          </w:p>
          <w:p w14:paraId="448391C0" w14:textId="77777777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BC525" w14:textId="503F167F" w:rsidR="005339ED" w:rsidRPr="005339ED" w:rsidRDefault="00E2688C" w:rsidP="00E2688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ихвинка</w:t>
            </w:r>
            <w:proofErr w:type="spellEnd"/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339ED"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населенного пункта)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659301" w14:textId="1308F851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Июнь сентябрь (указать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период).</w:t>
            </w:r>
          </w:p>
        </w:tc>
        <w:tc>
          <w:tcPr>
            <w:tcW w:w="2337" w:type="dxa"/>
          </w:tcPr>
          <w:p w14:paraId="5DC5504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865224">
        <w:tc>
          <w:tcPr>
            <w:tcW w:w="704" w:type="dxa"/>
          </w:tcPr>
          <w:p w14:paraId="66A56628" w14:textId="1F0AFCD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0" w:type="dxa"/>
          </w:tcPr>
          <w:p w14:paraId="724D01A4" w14:textId="35850E8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0F44ED1D" w14:textId="255362A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865224">
        <w:tc>
          <w:tcPr>
            <w:tcW w:w="704" w:type="dxa"/>
          </w:tcPr>
          <w:p w14:paraId="0E6BA95B" w14:textId="039235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2A09E7C" w14:textId="2CD06DBF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865224">
        <w:tc>
          <w:tcPr>
            <w:tcW w:w="704" w:type="dxa"/>
          </w:tcPr>
          <w:p w14:paraId="0D6E4FF6" w14:textId="1B18330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431" w:type="dxa"/>
          </w:tcPr>
          <w:p w14:paraId="461B7485" w14:textId="34B53E5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865224">
        <w:tc>
          <w:tcPr>
            <w:tcW w:w="704" w:type="dxa"/>
          </w:tcPr>
          <w:p w14:paraId="69AEBF2D" w14:textId="515E078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</w:tcPr>
          <w:p w14:paraId="6FE90680" w14:textId="6CDDCB0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9AB3E94" w14:textId="775B23A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A4E0B"/>
    <w:rsid w:val="00264F04"/>
    <w:rsid w:val="00464C82"/>
    <w:rsid w:val="004A3326"/>
    <w:rsid w:val="004A584B"/>
    <w:rsid w:val="005339ED"/>
    <w:rsid w:val="00632CF3"/>
    <w:rsid w:val="00701BD3"/>
    <w:rsid w:val="00717089"/>
    <w:rsid w:val="00865224"/>
    <w:rsid w:val="008C1433"/>
    <w:rsid w:val="00954160"/>
    <w:rsid w:val="00A42603"/>
    <w:rsid w:val="00B3794F"/>
    <w:rsid w:val="00B53DB1"/>
    <w:rsid w:val="00CF2688"/>
    <w:rsid w:val="00E2688C"/>
    <w:rsid w:val="00EC1753"/>
    <w:rsid w:val="00EF27AD"/>
    <w:rsid w:val="00F1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admin</cp:lastModifiedBy>
  <cp:revision>12</cp:revision>
  <dcterms:created xsi:type="dcterms:W3CDTF">2022-06-07T13:37:00Z</dcterms:created>
  <dcterms:modified xsi:type="dcterms:W3CDTF">2022-06-16T06:49:00Z</dcterms:modified>
</cp:coreProperties>
</file>