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D361F0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55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2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7F78A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0B344A" w:rsidRPr="00DC2F20" w:rsidRDefault="00D361F0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с.Кутки</w:t>
      </w:r>
      <w:proofErr w:type="spellEnd"/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D361F0">
        <w:rPr>
          <w:rFonts w:eastAsia="Times New Roman"/>
        </w:rPr>
        <w:t xml:space="preserve">Кутковского </w:t>
      </w:r>
      <w:r w:rsidR="000B344A" w:rsidRPr="00DC2F20">
        <w:t>сельского поселения Грибановского муниципального района Воронежской области, администрация сельского поселения п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r w:rsidR="00D361F0">
        <w:rPr>
          <w:rFonts w:ascii="Times New Roman" w:eastAsia="Times New Roman" w:hAnsi="Times New Roman" w:cs="Times New Roman"/>
          <w:sz w:val="28"/>
          <w:szCs w:val="28"/>
        </w:rPr>
        <w:t xml:space="preserve">Кутковского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lastRenderedPageBreak/>
        <w:t>- от «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сентября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г. № 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71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01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декабря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2016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99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A37DF4">
        <w:rPr>
          <w:rFonts w:ascii="Times New Roman" w:hAnsi="Times New Roman" w:cs="Times New Roman"/>
          <w:b w:val="0"/>
          <w:sz w:val="28"/>
          <w:szCs w:val="28"/>
        </w:rPr>
        <w:t>20.09</w:t>
      </w:r>
      <w:r w:rsidR="00CB7A99">
        <w:rPr>
          <w:rFonts w:ascii="Times New Roman" w:hAnsi="Times New Roman" w:cs="Times New Roman"/>
          <w:b w:val="0"/>
          <w:sz w:val="28"/>
          <w:szCs w:val="28"/>
        </w:rPr>
        <w:t>.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CB7A99">
        <w:rPr>
          <w:rFonts w:ascii="Times New Roman" w:hAnsi="Times New Roman" w:cs="Times New Roman"/>
          <w:b w:val="0"/>
          <w:sz w:val="28"/>
          <w:szCs w:val="28"/>
        </w:rPr>
        <w:t>71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18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апреля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2023 г. №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22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r w:rsid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071A8A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071A8A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r w:rsidR="00D361F0"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размещения на официальном сайте </w:t>
      </w:r>
      <w:r w:rsidR="00D361F0"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D361F0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  <w:r w:rsidR="000B344A"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D361F0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B3255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7F78A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D361F0">
        <w:rPr>
          <w:sz w:val="28"/>
          <w:szCs w:val="28"/>
        </w:rPr>
        <w:t>Кутковского</w:t>
      </w:r>
      <w:r w:rsidR="00D361F0" w:rsidRPr="00DC2F20">
        <w:rPr>
          <w:sz w:val="28"/>
          <w:szCs w:val="28"/>
        </w:rPr>
        <w:t xml:space="preserve"> </w:t>
      </w:r>
      <w:r w:rsidR="000B344A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(</w:t>
      </w:r>
      <w:r w:rsidR="001A55B4" w:rsidRPr="004A18B1">
        <w:rPr>
          <w:rFonts w:ascii="Times New Roman" w:hAnsi="Times New Roman" w:cs="Times New Roman"/>
          <w:sz w:val="28"/>
          <w:szCs w:val="28"/>
        </w:rPr>
        <w:t>http://</w:t>
      </w:r>
      <w:r w:rsidR="004A18B1" w:rsidRPr="004A18B1">
        <w:rPr>
          <w:sz w:val="28"/>
          <w:szCs w:val="28"/>
        </w:rPr>
        <w:t xml:space="preserve"> https://kutki-grib.ru</w:t>
      </w:r>
      <w:r w:rsidR="001A55B4" w:rsidRPr="004A18B1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</w:t>
      </w:r>
      <w:r w:rsidR="001A55B4" w:rsidRPr="00DC2F20">
        <w:rPr>
          <w:rFonts w:ascii="Times New Roman" w:hAnsi="Times New Roman" w:cs="Times New Roman"/>
          <w:sz w:val="28"/>
          <w:szCs w:val="28"/>
        </w:rPr>
        <w:t>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 адресу: www.go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Par84"/>
      <w:bookmarkEnd w:id="2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 xml:space="preserve">егламенты» раздела «Муниципальные услуги» по </w:t>
      </w:r>
      <w:r w:rsidR="0017747E" w:rsidRPr="004A18B1">
        <w:rPr>
          <w:sz w:val="28"/>
          <w:szCs w:val="28"/>
        </w:rPr>
        <w:t>адресу http://</w:t>
      </w:r>
      <w:r w:rsidR="004A18B1" w:rsidRPr="004A18B1">
        <w:rPr>
          <w:sz w:val="28"/>
          <w:szCs w:val="28"/>
        </w:rPr>
        <w:t xml:space="preserve"> https://kutki-grib.ru</w:t>
      </w:r>
      <w:r w:rsidR="0017747E" w:rsidRPr="004A18B1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8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 порядок и формы 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D361F0">
        <w:rPr>
          <w:sz w:val="28"/>
          <w:szCs w:val="28"/>
        </w:rPr>
        <w:t>Кутковского</w:t>
      </w:r>
      <w:r w:rsidR="00D361F0" w:rsidRPr="00DC2F20">
        <w:rPr>
          <w:sz w:val="28"/>
          <w:szCs w:val="28"/>
        </w:rPr>
        <w:t xml:space="preserve"> </w:t>
      </w:r>
      <w:r w:rsidR="00DC2F20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жалобой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4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5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5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46"/>
      <w:bookmarkEnd w:id="16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5"/>
      <w:bookmarkEnd w:id="17"/>
      <w:r w:rsidRPr="00DC2F20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8"/>
      <w:bookmarkEnd w:id="18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89"/>
      <w:bookmarkEnd w:id="19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76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05"/>
      <w:bookmarkEnd w:id="22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участков) на кадастровом плане территории площадью ________, расположенного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1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находящего(их)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1"/>
      <w:bookmarkEnd w:id="24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39"/>
      <w:bookmarkEnd w:id="25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58"/>
      <w:bookmarkEnd w:id="26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контактный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DB" w:rsidRDefault="00670EDB" w:rsidP="00BE6795">
      <w:pPr>
        <w:spacing w:after="0" w:line="240" w:lineRule="auto"/>
      </w:pPr>
      <w:r>
        <w:separator/>
      </w:r>
    </w:p>
  </w:endnote>
  <w:endnote w:type="continuationSeparator" w:id="0">
    <w:p w:rsidR="00670EDB" w:rsidRDefault="00670EDB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DB" w:rsidRDefault="00670EDB" w:rsidP="00BE6795">
      <w:pPr>
        <w:spacing w:after="0" w:line="240" w:lineRule="auto"/>
      </w:pPr>
      <w:r>
        <w:separator/>
      </w:r>
    </w:p>
  </w:footnote>
  <w:footnote w:type="continuationSeparator" w:id="0">
    <w:p w:rsidR="00670EDB" w:rsidRDefault="00670EDB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EndPr/>
    <w:sdtContent>
      <w:p w:rsidR="00A37DF4" w:rsidRDefault="00A37D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AA">
          <w:rPr>
            <w:noProof/>
          </w:rPr>
          <w:t>3</w:t>
        </w:r>
        <w:r>
          <w:fldChar w:fldCharType="end"/>
        </w:r>
      </w:p>
    </w:sdtContent>
  </w:sdt>
  <w:p w:rsidR="00A37DF4" w:rsidRDefault="00A37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8A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B3EFC"/>
    <w:rsid w:val="001C459B"/>
    <w:rsid w:val="001C68E2"/>
    <w:rsid w:val="001C7F71"/>
    <w:rsid w:val="001D3A14"/>
    <w:rsid w:val="001D7B83"/>
    <w:rsid w:val="001E4634"/>
    <w:rsid w:val="00207036"/>
    <w:rsid w:val="002101A8"/>
    <w:rsid w:val="00210799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A18B1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D6BAC"/>
    <w:rsid w:val="005E1A48"/>
    <w:rsid w:val="005E4362"/>
    <w:rsid w:val="005F2F91"/>
    <w:rsid w:val="00636CE7"/>
    <w:rsid w:val="006464AF"/>
    <w:rsid w:val="00651349"/>
    <w:rsid w:val="006556D9"/>
    <w:rsid w:val="00663928"/>
    <w:rsid w:val="00666C14"/>
    <w:rsid w:val="00670EDB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7F78AA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37DF4"/>
    <w:rsid w:val="00A44CF1"/>
    <w:rsid w:val="00A4587C"/>
    <w:rsid w:val="00A5033D"/>
    <w:rsid w:val="00A67234"/>
    <w:rsid w:val="00A718D5"/>
    <w:rsid w:val="00A83EF3"/>
    <w:rsid w:val="00A846A5"/>
    <w:rsid w:val="00A858B7"/>
    <w:rsid w:val="00AA348E"/>
    <w:rsid w:val="00AA49A7"/>
    <w:rsid w:val="00AC7183"/>
    <w:rsid w:val="00AD6226"/>
    <w:rsid w:val="00AE35AA"/>
    <w:rsid w:val="00B27CBE"/>
    <w:rsid w:val="00B32551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B7A99"/>
    <w:rsid w:val="00CC4B2C"/>
    <w:rsid w:val="00CD14B0"/>
    <w:rsid w:val="00CE2576"/>
    <w:rsid w:val="00D0158B"/>
    <w:rsid w:val="00D07E35"/>
    <w:rsid w:val="00D113EF"/>
    <w:rsid w:val="00D119B8"/>
    <w:rsid w:val="00D32BED"/>
    <w:rsid w:val="00D361F0"/>
    <w:rsid w:val="00D37ABA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7DF7"/>
    <w:rsid w:val="00E20A96"/>
    <w:rsid w:val="00E24F61"/>
    <w:rsid w:val="00E27A5A"/>
    <w:rsid w:val="00E334DE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C17E-7750-4CF0-9D35-60B6DC8F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75</Pages>
  <Words>21666</Words>
  <Characters>123500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50</cp:revision>
  <cp:lastPrinted>2023-07-31T07:48:00Z</cp:lastPrinted>
  <dcterms:created xsi:type="dcterms:W3CDTF">2023-06-06T09:34:00Z</dcterms:created>
  <dcterms:modified xsi:type="dcterms:W3CDTF">2023-09-21T06:02:00Z</dcterms:modified>
</cp:coreProperties>
</file>