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BD" w:rsidRPr="00496BA0" w:rsidRDefault="00496BA0" w:rsidP="006E36BD">
      <w:pPr>
        <w:ind w:firstLine="709"/>
        <w:jc w:val="right"/>
        <w:rPr>
          <w:b/>
          <w:sz w:val="28"/>
          <w:szCs w:val="28"/>
        </w:rPr>
      </w:pPr>
      <w:r w:rsidRPr="00496BA0">
        <w:rPr>
          <w:b/>
          <w:sz w:val="28"/>
          <w:szCs w:val="28"/>
        </w:rPr>
        <w:t>ПРОЕКТ</w:t>
      </w: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6E36BD" w:rsidP="006E36BD">
      <w:pPr>
        <w:jc w:val="center"/>
        <w:rPr>
          <w:b/>
          <w:sz w:val="28"/>
          <w:szCs w:val="28"/>
        </w:rPr>
      </w:pPr>
      <w:r w:rsidRPr="00496BA0">
        <w:rPr>
          <w:b/>
          <w:sz w:val="28"/>
          <w:szCs w:val="28"/>
        </w:rPr>
        <w:t xml:space="preserve">АДМИНИСТРАЦИИ </w:t>
      </w:r>
      <w:r w:rsidR="00C74557" w:rsidRPr="00C74557">
        <w:rPr>
          <w:b/>
          <w:sz w:val="28"/>
          <w:szCs w:val="28"/>
        </w:rPr>
        <w:t xml:space="preserve"> </w:t>
      </w:r>
      <w:r w:rsidR="00C74557">
        <w:rPr>
          <w:b/>
          <w:sz w:val="28"/>
          <w:szCs w:val="28"/>
        </w:rPr>
        <w:t>КУТКОВСКОГО</w:t>
      </w:r>
      <w:r w:rsidRPr="00496BA0">
        <w:rPr>
          <w:b/>
          <w:sz w:val="28"/>
          <w:szCs w:val="28"/>
        </w:rPr>
        <w:t xml:space="preserve"> СЕЛЬСКОГО ПОСЕЛЕНИЯ </w:t>
      </w:r>
      <w:r w:rsidR="00F617CC">
        <w:rPr>
          <w:b/>
          <w:sz w:val="28"/>
          <w:szCs w:val="28"/>
        </w:rPr>
        <w:t xml:space="preserve">ГРИБАНОВСКОГО </w:t>
      </w:r>
      <w:r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proofErr w:type="spellStart"/>
      <w:r w:rsidR="00C74557">
        <w:rPr>
          <w:rFonts w:ascii="Times New Roman" w:hAnsi="Times New Roman" w:cs="Times New Roman"/>
          <w:sz w:val="28"/>
          <w:szCs w:val="28"/>
        </w:rPr>
        <w:t>Кутковского</w:t>
      </w:r>
      <w:proofErr w:type="spellEnd"/>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proofErr w:type="spellStart"/>
      <w:r w:rsidR="00C74557">
        <w:rPr>
          <w:rFonts w:ascii="Times New Roman" w:hAnsi="Times New Roman" w:cs="Times New Roman"/>
          <w:sz w:val="28"/>
          <w:szCs w:val="28"/>
        </w:rPr>
        <w:t>Кутковского</w:t>
      </w:r>
      <w:proofErr w:type="spellEnd"/>
      <w:r>
        <w:rPr>
          <w:rFonts w:ascii="Times New Roman" w:hAnsi="Times New Roman" w:cs="Times New Roman"/>
          <w:sz w:val="28"/>
          <w:szCs w:val="28"/>
        </w:rPr>
        <w:t xml:space="preserve"> сельского поселения (далее – администрация).</w:t>
      </w:r>
    </w:p>
    <w:p w:rsidR="00C74557" w:rsidRPr="00C74557" w:rsidRDefault="006E36BD" w:rsidP="00C7455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C74557" w:rsidRPr="00C74557">
        <w:rPr>
          <w:sz w:val="28"/>
          <w:szCs w:val="28"/>
        </w:rPr>
        <w:t>397207, Воронежская область, Грибановский район, село Кутки, ул. Административная,7.</w:t>
      </w:r>
    </w:p>
    <w:p w:rsidR="006E36BD" w:rsidRDefault="006E36BD" w:rsidP="006E36BD">
      <w:pPr>
        <w:widowControl w:val="0"/>
        <w:tabs>
          <w:tab w:val="num" w:pos="142"/>
          <w:tab w:val="left" w:pos="1440"/>
          <w:tab w:val="left" w:pos="1560"/>
        </w:tabs>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proofErr w:type="spellStart"/>
      <w:r w:rsidR="00C74557">
        <w:rPr>
          <w:sz w:val="28"/>
          <w:szCs w:val="28"/>
          <w:lang w:val="en-US"/>
        </w:rPr>
        <w:t>kutkovskoe</w:t>
      </w:r>
      <w:proofErr w:type="spellEnd"/>
      <w:r w:rsidR="00C74557" w:rsidRPr="00C74557">
        <w:rPr>
          <w:sz w:val="28"/>
          <w:szCs w:val="28"/>
        </w:rPr>
        <w:t>.</w:t>
      </w:r>
      <w:proofErr w:type="spellStart"/>
      <w:r w:rsidR="00C74557">
        <w:rPr>
          <w:sz w:val="28"/>
          <w:szCs w:val="28"/>
          <w:lang w:val="en-US"/>
        </w:rPr>
        <w:t>ru</w:t>
      </w:r>
      <w:proofErr w:type="spellEnd"/>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proofErr w:type="spellStart"/>
      <w:r w:rsidR="00C74557">
        <w:rPr>
          <w:sz w:val="28"/>
          <w:szCs w:val="28"/>
        </w:rPr>
        <w:t>Кутковского</w:t>
      </w:r>
      <w:proofErr w:type="spellEnd"/>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 xml:space="preserve">подтверждающих наличие </w:t>
      </w:r>
      <w:r w:rsidR="00983DEF" w:rsidRPr="0035639A">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C74557">
        <w:rPr>
          <w:rFonts w:ascii="Times New Roman" w:hAnsi="Times New Roman" w:cs="Times New Roman"/>
          <w:sz w:val="28"/>
          <w:szCs w:val="28"/>
        </w:rPr>
        <w:t>24</w:t>
      </w:r>
      <w:r w:rsidRPr="0035639A">
        <w:rPr>
          <w:rFonts w:ascii="Times New Roman" w:hAnsi="Times New Roman" w:cs="Times New Roman"/>
          <w:sz w:val="28"/>
          <w:szCs w:val="28"/>
        </w:rPr>
        <w:t>»</w:t>
      </w:r>
      <w:r w:rsidR="00C74557">
        <w:rPr>
          <w:rFonts w:ascii="Times New Roman" w:hAnsi="Times New Roman" w:cs="Times New Roman"/>
          <w:sz w:val="28"/>
          <w:szCs w:val="28"/>
        </w:rPr>
        <w:t>02.</w:t>
      </w:r>
      <w:r w:rsidRPr="0035639A">
        <w:rPr>
          <w:rFonts w:ascii="Times New Roman" w:hAnsi="Times New Roman" w:cs="Times New Roman"/>
          <w:sz w:val="28"/>
          <w:szCs w:val="28"/>
        </w:rPr>
        <w:t>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принятой на всенародном </w:t>
      </w:r>
      <w:r>
        <w:rPr>
          <w:rFonts w:ascii="Times New Roman" w:hAnsi="Times New Roman" w:cs="Times New Roman"/>
          <w:sz w:val="28"/>
          <w:szCs w:val="28"/>
        </w:rPr>
        <w:lastRenderedPageBreak/>
        <w:t>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proofErr w:type="spellStart"/>
      <w:r w:rsidR="00C74557" w:rsidRPr="00C74557">
        <w:rPr>
          <w:sz w:val="28"/>
          <w:szCs w:val="28"/>
        </w:rPr>
        <w:t>Кутковского</w:t>
      </w:r>
      <w:proofErr w:type="spellEnd"/>
      <w:r w:rsidR="00C74557" w:rsidRPr="00C74557">
        <w:rPr>
          <w:sz w:val="28"/>
          <w:szCs w:val="28"/>
        </w:rPr>
        <w:t xml:space="preserve"> </w:t>
      </w:r>
      <w:r w:rsidRPr="00627001">
        <w:rPr>
          <w:sz w:val="28"/>
          <w:szCs w:val="28"/>
        </w:rPr>
        <w:t xml:space="preserve">сельского поселения </w:t>
      </w:r>
      <w:r w:rsidR="0018244D">
        <w:rPr>
          <w:sz w:val="28"/>
          <w:szCs w:val="28"/>
        </w:rPr>
        <w:t xml:space="preserve">Грибановского муниципального района </w:t>
      </w:r>
      <w:r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proofErr w:type="spellStart"/>
      <w:r w:rsidR="00C74557" w:rsidRPr="00C74557">
        <w:rPr>
          <w:sz w:val="28"/>
          <w:szCs w:val="28"/>
        </w:rPr>
        <w:t>Кутковского</w:t>
      </w:r>
      <w:proofErr w:type="spellEnd"/>
      <w:r w:rsidR="00C74557" w:rsidRPr="00C74557">
        <w:rPr>
          <w:sz w:val="28"/>
          <w:szCs w:val="28"/>
        </w:rPr>
        <w:t xml:space="preserve">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C74557">
        <w:rPr>
          <w:sz w:val="28"/>
          <w:szCs w:val="28"/>
        </w:rPr>
        <w:t xml:space="preserve"> от 31.03</w:t>
      </w:r>
      <w:r w:rsidR="00840B69">
        <w:rPr>
          <w:sz w:val="28"/>
          <w:szCs w:val="28"/>
        </w:rPr>
        <w:t xml:space="preserve">.2016 № </w:t>
      </w:r>
      <w:r w:rsidR="00C74557">
        <w:rPr>
          <w:sz w:val="28"/>
          <w:szCs w:val="28"/>
        </w:rPr>
        <w:t>1</w:t>
      </w:r>
      <w:r w:rsidR="00840B69" w:rsidRPr="007F17B8">
        <w:rPr>
          <w:sz w:val="28"/>
          <w:szCs w:val="28"/>
        </w:rPr>
        <w:t>)</w:t>
      </w:r>
      <w:r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proofErr w:type="spellStart"/>
      <w:r w:rsidR="00C74557" w:rsidRPr="00C74557">
        <w:rPr>
          <w:bCs/>
          <w:iCs/>
          <w:sz w:val="28"/>
          <w:szCs w:val="28"/>
        </w:rPr>
        <w:t>Кутковского</w:t>
      </w:r>
      <w:proofErr w:type="spellEnd"/>
      <w:r>
        <w:rPr>
          <w:bCs/>
          <w:iCs/>
          <w:sz w:val="28"/>
          <w:szCs w:val="28"/>
        </w:rPr>
        <w:t xml:space="preserve"> сельского поселения </w:t>
      </w:r>
      <w:r w:rsidR="0018244D">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proofErr w:type="spellStart"/>
      <w:r w:rsidR="00C74557" w:rsidRPr="00C74557">
        <w:rPr>
          <w:rFonts w:ascii="Times New Roman" w:hAnsi="Times New Roman" w:cs="Times New Roman"/>
          <w:sz w:val="28"/>
          <w:szCs w:val="28"/>
          <w:lang w:eastAsia="en-US"/>
        </w:rPr>
        <w:t>Кутковского</w:t>
      </w:r>
      <w:proofErr w:type="spellEnd"/>
      <w:r w:rsidR="00C74557">
        <w:rPr>
          <w:rFonts w:ascii="Times New Roman" w:hAnsi="Times New Roman" w:cs="Times New Roman"/>
          <w:sz w:val="28"/>
          <w:szCs w:val="28"/>
          <w:lang w:eastAsia="en-US"/>
        </w:rPr>
        <w:t xml:space="preserve">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Pr>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C74557" w:rsidRPr="00C74557">
        <w:rPr>
          <w:bCs/>
          <w:iCs/>
          <w:sz w:val="28"/>
          <w:szCs w:val="28"/>
        </w:rPr>
        <w:t>Кутковского</w:t>
      </w:r>
      <w:proofErr w:type="spellEnd"/>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w:t>
      </w:r>
      <w:r w:rsidRPr="004E42B0">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lastRenderedPageBreak/>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74557">
        <w:rPr>
          <w:sz w:val="28"/>
          <w:szCs w:val="28"/>
          <w:lang w:val="en-US"/>
        </w:rPr>
        <w:t>kutkovskoe</w:t>
      </w:r>
      <w:proofErr w:type="spellEnd"/>
      <w:r w:rsidR="00C74557" w:rsidRPr="00C74557">
        <w:rPr>
          <w:sz w:val="28"/>
          <w:szCs w:val="28"/>
        </w:rPr>
        <w:t>.</w:t>
      </w:r>
      <w:proofErr w:type="spellStart"/>
      <w:r w:rsidR="00C74557">
        <w:rPr>
          <w:sz w:val="28"/>
          <w:szCs w:val="28"/>
          <w:lang w:val="en-US"/>
        </w:rPr>
        <w:t>ru</w:t>
      </w:r>
      <w:proofErr w:type="spellEnd"/>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В случае направления заявителем заявления посредством </w:t>
      </w:r>
      <w:r>
        <w:rPr>
          <w:rFonts w:ascii="Times New Roman" w:hAnsi="Times New Roman" w:cs="Times New Roman"/>
          <w:sz w:val="28"/>
          <w:szCs w:val="28"/>
        </w:rPr>
        <w:lastRenderedPageBreak/>
        <w:t>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lastRenderedPageBreak/>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4557" w:rsidRPr="00C74557">
        <w:rPr>
          <w:rFonts w:ascii="Times New Roman" w:hAnsi="Times New Roman" w:cs="Times New Roman"/>
          <w:bCs/>
          <w:iCs/>
          <w:sz w:val="28"/>
          <w:szCs w:val="28"/>
        </w:rPr>
        <w:t>Кутковского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4557" w:rsidRPr="00C74557">
        <w:rPr>
          <w:rFonts w:ascii="Times New Roman" w:hAnsi="Times New Roman" w:cs="Times New Roman"/>
          <w:bCs/>
          <w:iCs/>
          <w:sz w:val="28"/>
          <w:szCs w:val="28"/>
        </w:rPr>
        <w:t>Кутковского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4557" w:rsidRPr="00C74557">
        <w:rPr>
          <w:rFonts w:ascii="Times New Roman" w:hAnsi="Times New Roman" w:cs="Times New Roman"/>
          <w:bCs/>
          <w:iCs/>
          <w:sz w:val="28"/>
          <w:szCs w:val="28"/>
        </w:rPr>
        <w:t>Кутковского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485E38">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4557" w:rsidRPr="00C74557">
        <w:rPr>
          <w:rFonts w:ascii="Times New Roman" w:hAnsi="Times New Roman" w:cs="Times New Roman"/>
          <w:bCs/>
          <w:iCs/>
          <w:sz w:val="28"/>
          <w:szCs w:val="28"/>
        </w:rPr>
        <w:t>Кутковского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5.7. Должностное лицо, уполномоченное на рассмотрение жалобы, или </w:t>
      </w:r>
      <w:r w:rsidRPr="00485E38">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C74557">
      <w:pPr>
        <w:autoSpaceDE w:val="0"/>
        <w:autoSpaceDN w:val="0"/>
        <w:adjustRightInd w:val="0"/>
        <w:outlineLvl w:val="0"/>
        <w:rPr>
          <w:sz w:val="28"/>
          <w:szCs w:val="28"/>
          <w:lang w:val="en-US"/>
        </w:rPr>
      </w:pPr>
    </w:p>
    <w:p w:rsidR="00C74557" w:rsidRPr="00C74557" w:rsidRDefault="00C74557" w:rsidP="00C74557">
      <w:pPr>
        <w:autoSpaceDE w:val="0"/>
        <w:autoSpaceDN w:val="0"/>
        <w:adjustRightInd w:val="0"/>
        <w:outlineLvl w:val="0"/>
        <w:rPr>
          <w:sz w:val="28"/>
          <w:szCs w:val="28"/>
          <w:lang w:val="en-US"/>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B87A8F" w:rsidRPr="00C74557" w:rsidRDefault="00B87A8F" w:rsidP="00C74557">
      <w:pPr>
        <w:autoSpaceDE w:val="0"/>
        <w:autoSpaceDN w:val="0"/>
        <w:adjustRightInd w:val="0"/>
        <w:ind w:left="-284"/>
        <w:jc w:val="both"/>
        <w:rPr>
          <w:rFonts w:eastAsia="Calibri"/>
          <w:sz w:val="28"/>
          <w:szCs w:val="28"/>
          <w:lang w:val="en-US" w:eastAsia="en-US"/>
        </w:rPr>
      </w:pPr>
      <w:r w:rsidRPr="00B87A8F">
        <w:rPr>
          <w:rFonts w:eastAsia="Calibri"/>
          <w:sz w:val="28"/>
          <w:szCs w:val="28"/>
          <w:lang w:eastAsia="en-US"/>
        </w:rPr>
        <w:t xml:space="preserve">1. Место нахождения администрации </w:t>
      </w:r>
      <w:proofErr w:type="spellStart"/>
      <w:r w:rsidR="00C74557" w:rsidRPr="00C74557">
        <w:rPr>
          <w:rFonts w:eastAsia="Calibri"/>
          <w:sz w:val="28"/>
          <w:szCs w:val="28"/>
          <w:lang w:eastAsia="en-US"/>
        </w:rPr>
        <w:t>Кутковского</w:t>
      </w:r>
      <w:proofErr w:type="spellEnd"/>
      <w:r w:rsidRPr="00B87A8F">
        <w:rPr>
          <w:rFonts w:eastAsia="Calibri"/>
          <w:sz w:val="28"/>
          <w:szCs w:val="28"/>
          <w:lang w:eastAsia="en-US"/>
        </w:rPr>
        <w:t xml:space="preserve"> сельского поселения Грибановского муниципального </w:t>
      </w:r>
      <w:proofErr w:type="spellStart"/>
      <w:r w:rsidRPr="00B87A8F">
        <w:rPr>
          <w:rFonts w:eastAsia="Calibri"/>
          <w:sz w:val="28"/>
          <w:szCs w:val="28"/>
          <w:lang w:eastAsia="en-US"/>
        </w:rPr>
        <w:t>районаВоронежской</w:t>
      </w:r>
      <w:proofErr w:type="spellEnd"/>
      <w:r w:rsidRPr="00B87A8F">
        <w:rPr>
          <w:rFonts w:eastAsia="Calibri"/>
          <w:sz w:val="28"/>
          <w:szCs w:val="28"/>
          <w:lang w:eastAsia="en-US"/>
        </w:rPr>
        <w:t xml:space="preserve"> области:</w:t>
      </w:r>
      <w:r w:rsidR="00C74557" w:rsidRPr="00C74557">
        <w:rPr>
          <w:rFonts w:eastAsia="Calibri"/>
          <w:sz w:val="28"/>
          <w:szCs w:val="28"/>
          <w:lang w:eastAsia="en-US"/>
        </w:rPr>
        <w:t xml:space="preserve"> 397207, Воронежская область, Грибановский район, село Кутки, ул. Административная,7.</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График работы администрации </w:t>
      </w:r>
      <w:proofErr w:type="spellStart"/>
      <w:r w:rsidR="00C74557" w:rsidRPr="00C74557">
        <w:rPr>
          <w:rFonts w:eastAsia="Calibri"/>
          <w:sz w:val="28"/>
          <w:szCs w:val="28"/>
          <w:lang w:eastAsia="en-US"/>
        </w:rPr>
        <w:t>Кутковского</w:t>
      </w:r>
      <w:proofErr w:type="spellEnd"/>
      <w:r w:rsidRPr="00B87A8F">
        <w:rPr>
          <w:rFonts w:eastAsia="Calibri"/>
          <w:sz w:val="28"/>
          <w:szCs w:val="28"/>
          <w:lang w:eastAsia="en-US"/>
        </w:rPr>
        <w:t xml:space="preserve"> сельского поселения Грибановского муниципального районаВоронежской области:</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понедельник - пятница: с 08.00 до 16.00;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перерыв: с 12.00 до 13.00.</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Официальный сайт администрации </w:t>
      </w:r>
      <w:proofErr w:type="spellStart"/>
      <w:r w:rsidR="00C74557" w:rsidRPr="00C74557">
        <w:rPr>
          <w:rFonts w:eastAsia="Calibri"/>
          <w:sz w:val="28"/>
          <w:szCs w:val="28"/>
          <w:lang w:eastAsia="en-US"/>
        </w:rPr>
        <w:t>Кутковского</w:t>
      </w:r>
      <w:proofErr w:type="spellEnd"/>
      <w:r w:rsidRPr="00B87A8F">
        <w:rPr>
          <w:rFonts w:eastAsia="Calibri"/>
          <w:sz w:val="28"/>
          <w:szCs w:val="28"/>
          <w:lang w:eastAsia="en-US"/>
        </w:rPr>
        <w:t xml:space="preserve"> сельского поселения   Грибановского муниципального </w:t>
      </w:r>
      <w:proofErr w:type="spellStart"/>
      <w:r w:rsidRPr="00B87A8F">
        <w:rPr>
          <w:rFonts w:eastAsia="Calibri"/>
          <w:sz w:val="28"/>
          <w:szCs w:val="28"/>
          <w:lang w:eastAsia="en-US"/>
        </w:rPr>
        <w:t>районаВоронежской</w:t>
      </w:r>
      <w:proofErr w:type="spellEnd"/>
      <w:r w:rsidRPr="00B87A8F">
        <w:rPr>
          <w:rFonts w:eastAsia="Calibri"/>
          <w:sz w:val="28"/>
          <w:szCs w:val="28"/>
          <w:lang w:eastAsia="en-US"/>
        </w:rPr>
        <w:t xml:space="preserve"> области в сети Интернет: </w:t>
      </w:r>
      <w:proofErr w:type="spellStart"/>
      <w:r w:rsidRPr="00B87A8F">
        <w:rPr>
          <w:rFonts w:eastAsia="Calibri"/>
          <w:sz w:val="28"/>
          <w:szCs w:val="28"/>
          <w:lang w:eastAsia="en-US"/>
        </w:rPr>
        <w:t>www</w:t>
      </w:r>
      <w:proofErr w:type="spellEnd"/>
      <w:r w:rsidRPr="00B87A8F">
        <w:rPr>
          <w:rFonts w:eastAsia="Calibri"/>
          <w:sz w:val="28"/>
          <w:szCs w:val="28"/>
          <w:lang w:eastAsia="en-US"/>
        </w:rPr>
        <w:t>.</w:t>
      </w:r>
      <w:proofErr w:type="spellStart"/>
      <w:r w:rsidR="00C74557">
        <w:rPr>
          <w:rFonts w:eastAsia="Calibri"/>
          <w:sz w:val="28"/>
          <w:szCs w:val="28"/>
          <w:lang w:val="en-US" w:eastAsia="en-US"/>
        </w:rPr>
        <w:t>kutkovskoe</w:t>
      </w:r>
      <w:proofErr w:type="spellEnd"/>
      <w:r w:rsidR="00C74557" w:rsidRPr="00C74557">
        <w:rPr>
          <w:rFonts w:eastAsia="Calibri"/>
          <w:sz w:val="28"/>
          <w:szCs w:val="28"/>
          <w:lang w:eastAsia="en-US"/>
        </w:rPr>
        <w:t>.</w:t>
      </w:r>
      <w:proofErr w:type="spellStart"/>
      <w:r w:rsidR="00C74557">
        <w:rPr>
          <w:rFonts w:eastAsia="Calibri"/>
          <w:sz w:val="28"/>
          <w:szCs w:val="28"/>
          <w:lang w:val="en-US" w:eastAsia="en-US"/>
        </w:rPr>
        <w:t>ru</w:t>
      </w:r>
      <w:proofErr w:type="spellEnd"/>
      <w:r w:rsidRPr="00B87A8F">
        <w:rPr>
          <w:rFonts w:eastAsia="Calibri"/>
          <w:sz w:val="28"/>
          <w:szCs w:val="28"/>
          <w:lang w:eastAsia="en-US"/>
        </w:rPr>
        <w:t>.</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Адрес электронной почты администрации </w:t>
      </w:r>
      <w:proofErr w:type="spellStart"/>
      <w:r w:rsidR="00C74557" w:rsidRPr="00C74557">
        <w:rPr>
          <w:rFonts w:eastAsia="Calibri"/>
          <w:sz w:val="28"/>
          <w:szCs w:val="28"/>
          <w:lang w:eastAsia="en-US"/>
        </w:rPr>
        <w:t>Кутковского</w:t>
      </w:r>
      <w:proofErr w:type="spellEnd"/>
      <w:r w:rsidRPr="00B87A8F">
        <w:rPr>
          <w:rFonts w:eastAsia="Calibri"/>
          <w:sz w:val="28"/>
          <w:szCs w:val="28"/>
          <w:lang w:eastAsia="en-US"/>
        </w:rPr>
        <w:t xml:space="preserve"> сельского поселения Грибановского муниципального </w:t>
      </w:r>
      <w:proofErr w:type="spellStart"/>
      <w:r w:rsidRPr="00B87A8F">
        <w:rPr>
          <w:rFonts w:eastAsia="Calibri"/>
          <w:sz w:val="28"/>
          <w:szCs w:val="28"/>
          <w:lang w:eastAsia="en-US"/>
        </w:rPr>
        <w:t>районаВоронежской</w:t>
      </w:r>
      <w:proofErr w:type="spellEnd"/>
      <w:r w:rsidRPr="00B87A8F">
        <w:rPr>
          <w:rFonts w:eastAsia="Calibri"/>
          <w:sz w:val="28"/>
          <w:szCs w:val="28"/>
          <w:lang w:eastAsia="en-US"/>
        </w:rPr>
        <w:t xml:space="preserve"> области: </w:t>
      </w:r>
      <w:proofErr w:type="spellStart"/>
      <w:r w:rsidR="00C74557" w:rsidRPr="00C74557">
        <w:rPr>
          <w:rFonts w:eastAsia="Calibri"/>
          <w:sz w:val="28"/>
          <w:szCs w:val="28"/>
          <w:lang w:val="en-US" w:eastAsia="en-US"/>
        </w:rPr>
        <w:t>kutk</w:t>
      </w:r>
      <w:proofErr w:type="spellEnd"/>
      <w:r w:rsidR="00C74557" w:rsidRPr="00C74557">
        <w:rPr>
          <w:rFonts w:eastAsia="Calibri"/>
          <w:sz w:val="28"/>
          <w:szCs w:val="28"/>
          <w:lang w:eastAsia="en-US"/>
        </w:rPr>
        <w:t>.</w:t>
      </w:r>
      <w:proofErr w:type="spellStart"/>
      <w:r w:rsidR="00C74557" w:rsidRPr="00C74557">
        <w:rPr>
          <w:rFonts w:eastAsia="Calibri"/>
          <w:sz w:val="28"/>
          <w:szCs w:val="28"/>
          <w:lang w:val="en-US" w:eastAsia="en-US"/>
        </w:rPr>
        <w:t>grib</w:t>
      </w:r>
      <w:proofErr w:type="spellEnd"/>
      <w:r w:rsidR="00C74557" w:rsidRPr="00C74557">
        <w:rPr>
          <w:rFonts w:eastAsia="Calibri"/>
          <w:sz w:val="28"/>
          <w:szCs w:val="28"/>
          <w:lang w:eastAsia="en-US"/>
        </w:rPr>
        <w:t>@</w:t>
      </w:r>
      <w:proofErr w:type="spellStart"/>
      <w:r w:rsidR="00C74557" w:rsidRPr="00C74557">
        <w:rPr>
          <w:rFonts w:eastAsia="Calibri"/>
          <w:sz w:val="28"/>
          <w:szCs w:val="28"/>
          <w:lang w:val="en-US" w:eastAsia="en-US"/>
        </w:rPr>
        <w:t>govvrn</w:t>
      </w:r>
      <w:proofErr w:type="spellEnd"/>
      <w:r w:rsidR="00C74557" w:rsidRPr="00C74557">
        <w:rPr>
          <w:rFonts w:eastAsia="Calibri"/>
          <w:sz w:val="28"/>
          <w:szCs w:val="28"/>
          <w:lang w:eastAsia="en-US"/>
        </w:rPr>
        <w:t>.</w:t>
      </w:r>
      <w:proofErr w:type="spellStart"/>
      <w:r w:rsidR="00C74557" w:rsidRPr="00C74557">
        <w:rPr>
          <w:rFonts w:eastAsia="Calibri"/>
          <w:sz w:val="28"/>
          <w:szCs w:val="28"/>
          <w:lang w:val="en-US" w:eastAsia="en-US"/>
        </w:rPr>
        <w:t>ru</w:t>
      </w:r>
      <w:proofErr w:type="spellEnd"/>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2. Телефоны для справок: </w:t>
      </w:r>
      <w:r w:rsidR="00C74557">
        <w:rPr>
          <w:rFonts w:eastAsia="Calibri"/>
          <w:sz w:val="28"/>
          <w:szCs w:val="28"/>
          <w:lang w:val="en-US" w:eastAsia="en-US"/>
        </w:rPr>
        <w:t>8(47348)37-1-83</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 xml:space="preserve">Воронежская область, </w:t>
      </w:r>
      <w:proofErr w:type="spellStart"/>
      <w:r w:rsidRPr="00B87A8F">
        <w:rPr>
          <w:rFonts w:eastAsia="Calibri"/>
          <w:sz w:val="28"/>
          <w:szCs w:val="28"/>
          <w:lang w:eastAsia="en-US"/>
        </w:rPr>
        <w:t>пгт</w:t>
      </w:r>
      <w:proofErr w:type="spellEnd"/>
      <w:r w:rsidRPr="00B87A8F">
        <w:rPr>
          <w:rFonts w:eastAsia="Calibri"/>
          <w:sz w:val="28"/>
          <w:szCs w:val="28"/>
          <w:lang w:eastAsia="en-US"/>
        </w:rPr>
        <w:t xml:space="preserve">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C74557">
      <w:pPr>
        <w:rPr>
          <w:sz w:val="28"/>
          <w:szCs w:val="28"/>
          <w:lang w:val="en-US" w:eastAsia="ar-SA"/>
        </w:rPr>
      </w:pPr>
    </w:p>
    <w:p w:rsidR="00C74557" w:rsidRPr="00C74557" w:rsidRDefault="00C74557" w:rsidP="00C74557">
      <w:pPr>
        <w:rPr>
          <w:sz w:val="28"/>
          <w:szCs w:val="28"/>
          <w:lang w:val="en-US"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w:t>
            </w:r>
            <w:proofErr w:type="spellStart"/>
            <w:r w:rsidR="00C74557">
              <w:rPr>
                <w:sz w:val="28"/>
                <w:szCs w:val="28"/>
              </w:rPr>
              <w:t>Кутковского</w:t>
            </w:r>
            <w:proofErr w:type="spellEnd"/>
            <w:r w:rsidR="00C74557">
              <w:rPr>
                <w:sz w:val="28"/>
                <w:szCs w:val="28"/>
              </w:rPr>
              <w:t xml:space="preserve">  сельского  </w:t>
            </w:r>
            <w:r>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lastRenderedPageBreak/>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0B3145" w:rsidRDefault="000B3145" w:rsidP="006E36BD">
      <w:pPr>
        <w:ind w:firstLine="709"/>
        <w:jc w:val="right"/>
        <w:rPr>
          <w:sz w:val="28"/>
          <w:szCs w:val="28"/>
        </w:rPr>
      </w:pPr>
      <w:bookmarkStart w:id="0" w:name="_GoBack"/>
      <w:bookmarkEnd w:id="0"/>
    </w:p>
    <w:p w:rsidR="006E36BD" w:rsidRDefault="006E36BD" w:rsidP="006E36BD">
      <w:pPr>
        <w:ind w:firstLine="709"/>
        <w:jc w:val="right"/>
        <w:rPr>
          <w:sz w:val="28"/>
          <w:szCs w:val="28"/>
        </w:rPr>
      </w:pPr>
      <w:r>
        <w:rPr>
          <w:sz w:val="28"/>
          <w:szCs w:val="28"/>
        </w:rPr>
        <w:lastRenderedPageBreak/>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lastRenderedPageBreak/>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1A" w:rsidRDefault="00C85E1A" w:rsidP="006E36BD">
      <w:r>
        <w:separator/>
      </w:r>
    </w:p>
  </w:endnote>
  <w:endnote w:type="continuationSeparator" w:id="0">
    <w:p w:rsidR="00C85E1A" w:rsidRDefault="00C85E1A"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1A" w:rsidRDefault="00C85E1A" w:rsidP="006E36BD">
      <w:r>
        <w:separator/>
      </w:r>
    </w:p>
  </w:footnote>
  <w:footnote w:type="continuationSeparator" w:id="0">
    <w:p w:rsidR="00C85E1A" w:rsidRDefault="00C85E1A"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26033"/>
    <w:rsid w:val="00085695"/>
    <w:rsid w:val="000A5F6C"/>
    <w:rsid w:val="000B3145"/>
    <w:rsid w:val="00173CED"/>
    <w:rsid w:val="0018244D"/>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96BA0"/>
    <w:rsid w:val="004B75DD"/>
    <w:rsid w:val="004D572B"/>
    <w:rsid w:val="004E3AA8"/>
    <w:rsid w:val="004F27A4"/>
    <w:rsid w:val="00521B36"/>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821AA9"/>
    <w:rsid w:val="00826A3F"/>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74557"/>
    <w:rsid w:val="00C85E1A"/>
    <w:rsid w:val="00CA625D"/>
    <w:rsid w:val="00CF03A6"/>
    <w:rsid w:val="00D010C3"/>
    <w:rsid w:val="00D25A0A"/>
    <w:rsid w:val="00D347B9"/>
    <w:rsid w:val="00D47AA0"/>
    <w:rsid w:val="00D6378D"/>
    <w:rsid w:val="00D863E7"/>
    <w:rsid w:val="00D92FB9"/>
    <w:rsid w:val="00DA56BA"/>
    <w:rsid w:val="00DE03FE"/>
    <w:rsid w:val="00E52778"/>
    <w:rsid w:val="00E66299"/>
    <w:rsid w:val="00E85299"/>
    <w:rsid w:val="00EA5B71"/>
    <w:rsid w:val="00F20CE9"/>
    <w:rsid w:val="00F617CC"/>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15A1-A3D3-4CB3-BF66-C19E2E84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23</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91</cp:revision>
  <dcterms:created xsi:type="dcterms:W3CDTF">2015-06-24T09:35:00Z</dcterms:created>
  <dcterms:modified xsi:type="dcterms:W3CDTF">2016-05-13T05:03:00Z</dcterms:modified>
</cp:coreProperties>
</file>